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11e4aec16cf132b9efc258db5d50d3890b9d6"/>
    <w:p>
      <w:pPr>
        <w:pStyle w:val="Heading3"/>
      </w:pPr>
      <w:r>
        <w:t xml:space="preserve">Центр госуслуг района Донской временно принимает по новому адресу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rPr>
          <w:bCs/>
          <w:b/>
        </w:rPr>
        <w:t xml:space="preserve">Центр госуслуг района Донской</w:t>
      </w:r>
      <w:r>
        <w:t xml:space="preserve"> </w:t>
      </w:r>
      <w:r>
        <w:t xml:space="preserve">временно принимает заявителей по новому адресу: Хавская ул., д. 26.</w:t>
      </w:r>
    </w:p>
    <w:p>
      <w:pPr>
        <w:pStyle w:val="BodyText"/>
      </w:pPr>
      <w:r>
        <w:t xml:space="preserve">График работы остается прежним — офис доступен для посещения ежедневно 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http://md.mos.ru/presscenter/news/detail/13043940.html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3043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3043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2025-07-25T09:57:06Z</dcterms:created>
  <dcterms:modified xsi:type="dcterms:W3CDTF">2025-07-25T09:57:06Z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