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aad1fe505efeaba08bc0fbd0756606c4f4a153"/>
    <w:p>
      <w:pPr>
        <w:pStyle w:val="Heading3"/>
      </w:pPr>
      <w:r>
        <w:t xml:space="preserve">График работы центров госуслуг в День России</w:t>
      </w:r>
    </w:p>
    <w:p>
      <w:pPr>
        <w:pStyle w:val="FirstParagraph"/>
      </w:pPr>
      <w:r>
        <w:t xml:space="preserve">10.06.2024</w:t>
      </w:r>
    </w:p>
    <w:p>
      <w:pPr>
        <w:pStyle w:val="BodyText"/>
      </w:pPr>
      <w:r>
        <w:t xml:space="preserve">В День России изменится график работы центров госуслуг: 12 июня будет выходным днем.</w:t>
      </w:r>
    </w:p>
    <w:p>
      <w:pPr>
        <w:pStyle w:val="BodyText"/>
      </w:pPr>
      <w:r>
        <w:t xml:space="preserve">В остальные дни график работы останется прежним: районные офисы — с 08:00 до 20:00, флагманские офисы — с 10:00 до 22:00.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http://md.mos.ru/presscenter/news/detail/12414031.html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4140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4140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2024-11-02T09:37:23Z</dcterms:created>
  <dcterms:modified xsi:type="dcterms:W3CDTF">2024-11-02T09:37:23Z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